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1" w:rsidRDefault="00513E03">
      <w:pPr>
        <w:rPr>
          <w:rFonts w:ascii="Monotype Corsiva" w:hAnsi="Monotype Corsiva"/>
          <w:b/>
          <w:noProof/>
          <w:color w:val="00B050"/>
          <w:sz w:val="40"/>
        </w:rPr>
      </w:pPr>
      <w:r>
        <w:rPr>
          <w:rFonts w:ascii="Monotype Corsiva" w:hAnsi="Monotype Corsiva"/>
          <w:b/>
          <w:noProof/>
          <w:color w:val="00B050"/>
          <w:sz w:val="40"/>
        </w:rPr>
        <w:t xml:space="preserve">                        Консультация для родителей:</w:t>
      </w:r>
    </w:p>
    <w:p w:rsidR="00DF5D61" w:rsidRDefault="00DF5D61">
      <w:pPr>
        <w:rPr>
          <w:noProof/>
        </w:rPr>
      </w:pPr>
    </w:p>
    <w:p w:rsidR="00DF5D61" w:rsidRDefault="00DF5D61">
      <w:pPr>
        <w:rPr>
          <w:noProof/>
        </w:rPr>
      </w:pPr>
    </w:p>
    <w:p w:rsidR="00DF5D61" w:rsidRDefault="00DF5D61">
      <w:pPr>
        <w:rPr>
          <w:noProof/>
        </w:rPr>
      </w:pPr>
    </w:p>
    <w:p w:rsidR="00DF5D61" w:rsidRDefault="00DF5D61">
      <w:pPr>
        <w:rPr>
          <w:noProof/>
        </w:rPr>
      </w:pPr>
    </w:p>
    <w:p w:rsidR="00DF5D61" w:rsidRDefault="004D34DE">
      <w:r>
        <w:pict>
          <v:shapetype id="2" o:spid="_x0000_m1027" coordsize="21600,21600" o:spt="100" adj="0,,0" path="m,l,21600r21600,l21600,xe">
            <v:stroke joinstyle="round"/>
            <v:formulas/>
            <v:path o:connecttype="segments"/>
          </v:shapetype>
          <v:shape id="_x0000_s1026" type="#2" style="position:absolute;margin-left:27.75pt;margin-top:39pt;width:374.3pt;height:291.5pt;z-index:251658240;mso-wrap-distance-left:9pt;mso-wrap-distance-top:0;mso-wrap-distance-right:9pt;mso-wrap-distance-bottom:0;mso-position-horizontal:absolute;mso-position-horizontal-relative:text;mso-position-vertical:absolute;mso-position-vertical-relative:text" o:allowincell="t" filled="f" stroked="f" strokecolor="white [3212]">
            <v:stroke filltype="solid">
              <o:left v:ext="view" on="f"/>
              <o:top v:ext="view" on="f"/>
              <o:right v:ext="view" on="f"/>
              <o:bottom v:ext="view" on="f"/>
            </v:stroke>
            <v:textbox>
              <w:txbxContent>
                <w:p w:rsidR="00DF5D61" w:rsidRDefault="00DF5D61"/>
                <w:p w:rsidR="00DF5D61" w:rsidRDefault="00DF5D61"/>
                <w:p w:rsidR="00DF5D61" w:rsidRDefault="00DF5D61">
                  <w:pP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</w:pPr>
                </w:p>
                <w:p w:rsidR="00DF5D61" w:rsidRDefault="00513E03">
                  <w:pP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  <w:t xml:space="preserve">       «Дидактические </w:t>
                  </w:r>
                </w:p>
                <w:p w:rsidR="00DF5D61" w:rsidRDefault="00513E03">
                  <w:pP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  <w:t xml:space="preserve">       игры в детском саду </w:t>
                  </w:r>
                </w:p>
                <w:p w:rsidR="00DF5D61" w:rsidRDefault="00513E03">
                  <w:pP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72"/>
                    </w:rPr>
                    <w:t xml:space="preserve">                         и дома»</w:t>
                  </w:r>
                </w:p>
              </w:txbxContent>
            </v:textbox>
          </v:shape>
        </w:pict>
      </w:r>
      <w:r w:rsidR="00DF5D61">
        <w:pict/>
      </w:r>
      <w:r w:rsidR="00513E03">
        <w:rPr>
          <w:noProof/>
        </w:rPr>
        <w:drawing>
          <wp:inline distT="0" distB="0" distL="0" distR="0">
            <wp:extent cx="5940425" cy="5620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D61" w:rsidRDefault="00DF5D61"/>
    <w:p w:rsidR="00DF5D61" w:rsidRDefault="009D4C46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                                                  </w:t>
      </w:r>
      <w:r w:rsidR="00513E03">
        <w:rPr>
          <w:rFonts w:ascii="Times New Roman" w:hAnsi="Times New Roman"/>
          <w:color w:val="00B050"/>
          <w:sz w:val="28"/>
        </w:rPr>
        <w:t xml:space="preserve">Подготовила: Романова Л. И.                                 </w:t>
      </w:r>
    </w:p>
    <w:p w:rsidR="00DF5D61" w:rsidRDefault="00DF5D61">
      <w:pPr>
        <w:rPr>
          <w:rFonts w:ascii="Times New Roman" w:hAnsi="Times New Roman"/>
          <w:color w:val="00B050"/>
          <w:sz w:val="28"/>
        </w:rPr>
      </w:pPr>
    </w:p>
    <w:p w:rsidR="00DF5D61" w:rsidRDefault="00513E03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             </w:t>
      </w:r>
      <w:r>
        <w:rPr>
          <w:rFonts w:ascii="Times New Roman" w:hAnsi="Times New Roman"/>
          <w:color w:val="00B050"/>
          <w:sz w:val="28"/>
        </w:rPr>
        <w:t xml:space="preserve">  Биробиджан </w:t>
      </w:r>
    </w:p>
    <w:p w:rsidR="00DF5D61" w:rsidRDefault="00513E03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                     2021г.</w:t>
      </w:r>
    </w:p>
    <w:p w:rsidR="00DF5D61" w:rsidRPr="009D4C46" w:rsidRDefault="009D4C46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00B050"/>
          <w:sz w:val="28"/>
        </w:rPr>
        <w:lastRenderedPageBreak/>
        <w:t xml:space="preserve">         </w:t>
      </w:r>
      <w:r w:rsidR="00513E03">
        <w:rPr>
          <w:rFonts w:ascii="Arial" w:hAnsi="Arial"/>
          <w:color w:val="000000"/>
          <w:sz w:val="21"/>
        </w:rPr>
        <w:t> </w:t>
      </w:r>
      <w:r w:rsidR="00513E03" w:rsidRPr="009D4C46">
        <w:rPr>
          <w:rFonts w:ascii="Times New Roman" w:hAnsi="Times New Roman"/>
          <w:color w:val="000000"/>
          <w:sz w:val="24"/>
          <w:szCs w:val="24"/>
        </w:rPr>
        <w:t>Младший возраст ребенка – это очень ответственный период в развитии человека, когда происходит закладка фундамента его личности.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Родителям необходимо знать, что в каждый период развития ребенка он может приобрести «психологические ценности», которые будут с ним всю последующую жизнь.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</w:t>
      </w:r>
      <w:proofErr w:type="spellStart"/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ледует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подчеркнуть, что развитие –  это не только новые приобретения, но и закреп</w:t>
      </w:r>
      <w:r w:rsidRPr="009D4C46">
        <w:rPr>
          <w:rFonts w:ascii="Times New Roman" w:hAnsi="Times New Roman"/>
          <w:color w:val="000000"/>
          <w:sz w:val="24"/>
          <w:szCs w:val="24"/>
        </w:rPr>
        <w:t>ление ранее достигнутого. И в этом плане особое значение имеет вид деятельности ребенка на данном возрастном этапе становления личности. Именно вид деятельности определяет новую ступень в психологическом развитии ребенка.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 xml:space="preserve">         Ведущий вид деятельности 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основ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 xml:space="preserve"> становления личности ребенка до 3 лет – предметная игра. Поэтому в 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тском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саду с детьми данного возраста проводятся игры-занятия, в которых усвоение какого-либо материала протекает незаметно для малышей, в практической деятельности.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Пред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метно-игровая деятельность – ведущая в раннем возрасте для ребенка. Она оказывает особое влияние на его 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р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зностороннее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развитие. Игрушки, 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под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бранные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по цвету, величине, количеству, являются прекрасным средством развития личности маленьких детей. Основная 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задача взрослого состоит в том, чтобы с помощью таких 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 дидактической игрушкой отражают свойственный </w:t>
      </w:r>
      <w:r w:rsidRPr="009D4C46">
        <w:rPr>
          <w:rFonts w:ascii="Times New Roman" w:hAnsi="Times New Roman"/>
          <w:color w:val="000000"/>
          <w:sz w:val="24"/>
          <w:szCs w:val="24"/>
        </w:rPr>
        <w:t>раннему периоду детства наглядно-действенный характер мышления.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 xml:space="preserve"> Поэтому дидактические игрушки 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</w:t>
      </w:r>
      <w:r w:rsidRPr="009D4C46">
        <w:rPr>
          <w:rFonts w:ascii="Times New Roman" w:hAnsi="Times New Roman"/>
          <w:color w:val="000000"/>
          <w:sz w:val="24"/>
          <w:szCs w:val="24"/>
        </w:rPr>
        <w:t>ся мыслительные операции анализа, синтеза, обобщения …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 xml:space="preserve">         Дидактические игрушки развивают у детей мелкую моторику, вызывают у них желание экспериментировать, выполнять различные конструктивные действия. Игры с предметами ставят ребенка перед </w:t>
      </w:r>
      <w:r w:rsidRPr="009D4C46">
        <w:rPr>
          <w:rFonts w:ascii="Times New Roman" w:hAnsi="Times New Roman"/>
          <w:color w:val="000000"/>
          <w:sz w:val="24"/>
          <w:szCs w:val="24"/>
        </w:rPr>
        <w:t>необходимостью запоминать и воспроизводить способы действий, которые были показаны взрослым, т.е. развивают память и воображение. Таким образом, сенсорный опыт детей – основа познавательного развития.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 xml:space="preserve">         Большое значение в сенсорном воспитании имеет </w:t>
      </w:r>
      <w:r w:rsidRPr="009D4C46">
        <w:rPr>
          <w:rFonts w:ascii="Times New Roman" w:hAnsi="Times New Roman"/>
          <w:color w:val="000000"/>
          <w:sz w:val="24"/>
          <w:szCs w:val="24"/>
        </w:rPr>
        <w:t>формирование у детей представлений о сенсорных эталонах – общепринятых образцах внешних свой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 xml:space="preserve">едметов. В каждом возрасте перед сенсорным воспитанием стоят свои задачи. Дети 2-3 </w:t>
      </w:r>
      <w:r w:rsidRPr="009D4C46">
        <w:rPr>
          <w:rFonts w:ascii="Times New Roman" w:hAnsi="Times New Roman"/>
          <w:color w:val="000000"/>
          <w:sz w:val="24"/>
          <w:szCs w:val="24"/>
        </w:rPr>
        <w:lastRenderedPageBreak/>
        <w:t>лет должны безошибочно осуществлять выбор из 2-3 предметов по форме, величи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не и цвету. В 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честве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одного из методов сенсорного воспитания применяются дидактические игры и упражнения, позволяющие шире приобщать детей к текущей жизни в доступных им формах интеллектуальной и активной практической деятельности, </w:t>
      </w:r>
      <w:proofErr w:type="spellStart"/>
      <w:r w:rsidRPr="009D4C46">
        <w:rPr>
          <w:rFonts w:ascii="Times New Roman" w:hAnsi="Times New Roman"/>
          <w:color w:val="000000"/>
          <w:sz w:val="24"/>
          <w:szCs w:val="24"/>
        </w:rPr>
        <w:t>нрaвcтвенных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и эстетич</w:t>
      </w:r>
      <w:r w:rsidRPr="009D4C46">
        <w:rPr>
          <w:rFonts w:ascii="Times New Roman" w:hAnsi="Times New Roman"/>
          <w:color w:val="000000"/>
          <w:sz w:val="24"/>
          <w:szCs w:val="24"/>
        </w:rPr>
        <w:t>еских переживаниях.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 xml:space="preserve">         Дидактическая игра приобретает все большее значение, однако в практике воспитания детей она еще используется недостаточно. Между тем, наряду с использованием представлений о форме, цвете, величине и др., она составляет одну из 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основ умственного воспитания, всестороннего развития и формирования познавательных </w:t>
      </w:r>
      <w:proofErr w:type="spellStart"/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9D4C46">
        <w:rPr>
          <w:rFonts w:ascii="Times New Roman" w:hAnsi="Times New Roman"/>
          <w:color w:val="000000"/>
          <w:sz w:val="24"/>
          <w:szCs w:val="24"/>
        </w:rPr>
        <w:t>пособноcтей</w:t>
      </w:r>
      <w:proofErr w:type="spellEnd"/>
      <w:r w:rsidRPr="009D4C46">
        <w:rPr>
          <w:rFonts w:ascii="Times New Roman" w:hAnsi="Times New Roman"/>
          <w:color w:val="000000"/>
          <w:sz w:val="24"/>
          <w:szCs w:val="24"/>
        </w:rPr>
        <w:t xml:space="preserve"> ребенка. Богатые возможности для сенсорного развития и совершенствования ловкости рук таят в себе </w:t>
      </w:r>
      <w:r w:rsidRPr="009D4C46">
        <w:rPr>
          <w:rFonts w:ascii="Times New Roman" w:hAnsi="Times New Roman"/>
          <w:color w:val="000000"/>
          <w:sz w:val="24"/>
          <w:szCs w:val="24"/>
        </w:rPr>
        <w:br/>
        <w:t>народные игрушки: башенки, матрешки, неваляшки, разборные шар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движениями, действиями. И </w:t>
      </w:r>
      <w:r w:rsidRPr="009D4C46">
        <w:rPr>
          <w:rFonts w:ascii="Times New Roman" w:hAnsi="Times New Roman"/>
          <w:color w:val="000000"/>
          <w:sz w:val="24"/>
          <w:szCs w:val="24"/>
        </w:rPr>
        <w:t>все это своеобразное обучение элементарным знаниям и умениям осуществляется в формах увлекательных, </w:t>
      </w:r>
      <w:r w:rsidRPr="009D4C46">
        <w:rPr>
          <w:rFonts w:ascii="Times New Roman" w:hAnsi="Times New Roman"/>
          <w:color w:val="000000"/>
          <w:sz w:val="24"/>
          <w:szCs w:val="24"/>
        </w:rPr>
        <w:br/>
        <w:t>доступных ребенку.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В дошкольной педагогике все многообразие дидактических игр объединяется в три основных вида: игры с предметами, игрушками, прир</w:t>
      </w:r>
      <w:r w:rsidRPr="009D4C46">
        <w:rPr>
          <w:rFonts w:ascii="Times New Roman" w:hAnsi="Times New Roman"/>
          <w:color w:val="000000"/>
          <w:sz w:val="24"/>
          <w:szCs w:val="24"/>
        </w:rPr>
        <w:t>одным материалом, настольно-печатные и словесные игры.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В играх с предметами используются игрушки и реальные предметы. Играя с ними, дети учатся сравнивать, устанавливать сходство и различие предметов. С их помощью дети знакомятся со свойствами пре</w:t>
      </w:r>
      <w:r w:rsidRPr="009D4C46">
        <w:rPr>
          <w:rFonts w:ascii="Times New Roman" w:hAnsi="Times New Roman"/>
          <w:color w:val="000000"/>
          <w:sz w:val="24"/>
          <w:szCs w:val="24"/>
        </w:rPr>
        <w:t>дметов: цветом, формой, качеством. В играх решаются задачи на сравнение, классификацию, установление последовательности. Для детей младшей группы даются предметы, резко отличающиеся друг от друга по свойствам, так как дети этой группы еще не могут находить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 слабозаметные различия между предметами. К таким играм относятся: 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«Кукла Катя обедает.», «Кукла Катя собирается на прогулку», «Что изменилось?», «Чудесный мешочек», «Узнай на вкус», «Выбери предмет», «Посуда», «Третий лишний» и т.д.</w:t>
      </w:r>
      <w:proofErr w:type="gramEnd"/>
    </w:p>
    <w:p w:rsidR="00DF5D61" w:rsidRPr="009D4C46" w:rsidRDefault="00513E0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Настольно-печ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атные игры – интересное занятие для детей. Они разнообразны по видам: парные картинки, лото, домино. </w:t>
      </w:r>
    </w:p>
    <w:p w:rsidR="00DF5D61" w:rsidRPr="009D4C46" w:rsidRDefault="00513E03">
      <w:pPr>
        <w:spacing w:line="360" w:lineRule="auto"/>
        <w:rPr>
          <w:rFonts w:ascii="Times New Roman" w:hAnsi="Times New Roman"/>
          <w:color w:val="181818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lastRenderedPageBreak/>
        <w:t>Самое простое задание в подборе картинок по парам – нахождение среди разных картинок двух совершенно одинаковых: две шапочки, две машины и т.д. Затем зада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ние немного усложняется: ребенок объединяет картинки не только по внешним признакам, но и по смыслу. Предметы, изображенные на картинке, могут быть разные по форме и цвету, но их объединяет принадлежность к одному виду предметов. Подбор картинок по общему 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признаку (классификация). «Что растет в лесу (саду, огороде)». Запоминание состава, количества и расположения картинок: «Отгадай, какую картинку спрятали», «Что изменилось?». Описание, рассказ по картинке с показом действий, движений. 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Например, в игре «Отг</w:t>
      </w:r>
      <w:r w:rsidRPr="009D4C46">
        <w:rPr>
          <w:rFonts w:ascii="Times New Roman" w:hAnsi="Times New Roman"/>
          <w:color w:val="000000"/>
          <w:sz w:val="24"/>
          <w:szCs w:val="24"/>
        </w:rPr>
        <w:t>адай, кто это?» ребенок, взявший у водящего карточку, внимательно ее рассматривает, затем изображает звук и движения (кошки, собаки, петуха, лягушки и др.)</w:t>
      </w:r>
      <w:proofErr w:type="gramEnd"/>
    </w:p>
    <w:p w:rsidR="00DF5D61" w:rsidRPr="009D4C46" w:rsidRDefault="00513E0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D4C46">
        <w:rPr>
          <w:rFonts w:ascii="Times New Roman" w:hAnsi="Times New Roman"/>
          <w:color w:val="000000"/>
          <w:sz w:val="24"/>
          <w:szCs w:val="24"/>
        </w:rPr>
        <w:t>         Словесные игры</w:t>
      </w:r>
      <w:r w:rsidRPr="009D4C46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построены на словах и действиях играющих. В младших группах игры со словами </w:t>
      </w:r>
      <w:r w:rsidRPr="009D4C46">
        <w:rPr>
          <w:rFonts w:ascii="Times New Roman" w:hAnsi="Times New Roman"/>
          <w:color w:val="000000"/>
          <w:sz w:val="24"/>
          <w:szCs w:val="24"/>
        </w:rPr>
        <w:t xml:space="preserve">направлены в основном на развитие речи, воспитание правильного звукопроизношения, уточнение, закрепление и активацию словаря, развитие правильной ориентировки в пространстве. К таким играм относятся: </w:t>
      </w:r>
      <w:proofErr w:type="gramStart"/>
      <w:r w:rsidRPr="009D4C46">
        <w:rPr>
          <w:rFonts w:ascii="Times New Roman" w:hAnsi="Times New Roman"/>
          <w:color w:val="000000"/>
          <w:sz w:val="24"/>
          <w:szCs w:val="24"/>
        </w:rPr>
        <w:t>«Угадай, кто позва</w:t>
      </w:r>
      <w:r w:rsidR="009D4C46">
        <w:rPr>
          <w:rFonts w:ascii="Times New Roman" w:hAnsi="Times New Roman"/>
          <w:color w:val="000000"/>
          <w:sz w:val="24"/>
          <w:szCs w:val="24"/>
        </w:rPr>
        <w:t>л», «Игры с пальчиками», «Идет </w:t>
      </w:r>
      <w:r w:rsidRPr="009D4C46">
        <w:rPr>
          <w:rFonts w:ascii="Times New Roman" w:hAnsi="Times New Roman"/>
          <w:color w:val="000000"/>
          <w:sz w:val="24"/>
          <w:szCs w:val="24"/>
        </w:rPr>
        <w:t>коза р</w:t>
      </w:r>
      <w:r w:rsidRPr="009D4C46">
        <w:rPr>
          <w:rFonts w:ascii="Times New Roman" w:hAnsi="Times New Roman"/>
          <w:color w:val="000000"/>
          <w:sz w:val="24"/>
          <w:szCs w:val="24"/>
        </w:rPr>
        <w:t>огатая», «Петушок», «Птицы и автомобиль», «Солнечные зайчики», «Еду-еду» и др.</w:t>
      </w:r>
      <w:bookmarkStart w:id="0" w:name="_GoBack"/>
      <w:bookmarkEnd w:id="0"/>
      <w:proofErr w:type="gramEnd"/>
    </w:p>
    <w:p w:rsidR="00DF5D61" w:rsidRPr="009D4C46" w:rsidRDefault="00DF5D61">
      <w:pPr>
        <w:rPr>
          <w:rFonts w:ascii="Times New Roman" w:hAnsi="Times New Roman"/>
          <w:color w:val="00B050"/>
          <w:sz w:val="24"/>
          <w:szCs w:val="24"/>
        </w:rPr>
      </w:pPr>
    </w:p>
    <w:p w:rsidR="00DF5D61" w:rsidRPr="009D4C46" w:rsidRDefault="009D4C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13E03" w:rsidRPr="009D4C46">
        <w:rPr>
          <w:noProof/>
          <w:sz w:val="24"/>
          <w:szCs w:val="24"/>
        </w:rPr>
        <w:drawing>
          <wp:inline distT="0" distB="0" distL="0" distR="0">
            <wp:extent cx="1649730" cy="133223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D61" w:rsidRPr="009D4C46" w:rsidRDefault="00DF5D61">
      <w:pPr>
        <w:rPr>
          <w:rFonts w:ascii="Times New Roman" w:hAnsi="Times New Roman"/>
          <w:color w:val="00B050"/>
          <w:sz w:val="24"/>
          <w:szCs w:val="24"/>
        </w:rPr>
      </w:pPr>
    </w:p>
    <w:sectPr w:rsidR="00DF5D61" w:rsidRPr="009D4C46" w:rsidSect="00DF5D61">
      <w:pgSz w:w="11906" w:h="16838" w:code="9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D61"/>
    <w:rsid w:val="000A1EB5"/>
    <w:rsid w:val="004D34DE"/>
    <w:rsid w:val="00513E03"/>
    <w:rsid w:val="009D4C46"/>
    <w:rsid w:val="00D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F5D61"/>
    <w:pPr>
      <w:spacing w:after="0" w:line="240" w:lineRule="auto"/>
    </w:pPr>
    <w:rPr>
      <w:rFonts w:ascii="Tahoma" w:hAnsi="Tahoma"/>
      <w:sz w:val="16"/>
    </w:rPr>
  </w:style>
  <w:style w:type="paragraph" w:styleId="a5">
    <w:name w:val="Normal (Web)"/>
    <w:basedOn w:val="a"/>
    <w:semiHidden/>
    <w:rsid w:val="00DF5D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DF5D61"/>
  </w:style>
  <w:style w:type="character" w:styleId="a6">
    <w:name w:val="Hyperlink"/>
    <w:rsid w:val="00DF5D6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DF5D61"/>
    <w:rPr>
      <w:rFonts w:ascii="Tahoma" w:hAnsi="Tahoma"/>
      <w:sz w:val="16"/>
    </w:rPr>
  </w:style>
  <w:style w:type="table" w:styleId="1">
    <w:name w:val="Table Simple 1"/>
    <w:basedOn w:val="a1"/>
    <w:rsid w:val="00DF5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</cp:lastModifiedBy>
  <cp:revision>4</cp:revision>
  <dcterms:created xsi:type="dcterms:W3CDTF">2022-08-21T05:11:00Z</dcterms:created>
  <dcterms:modified xsi:type="dcterms:W3CDTF">2022-08-21T09:14:00Z</dcterms:modified>
</cp:coreProperties>
</file>